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95" w:rsidRDefault="00FD0695" w:rsidP="00FD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695" w:rsidRDefault="00FD0695" w:rsidP="00FD0695">
      <w:pPr>
        <w:pStyle w:val="a3"/>
        <w:jc w:val="center"/>
      </w:pPr>
      <w:r>
        <w:t>ВОЛГОГРАДСКАЯ ОБЛАСТЬ</w:t>
      </w:r>
    </w:p>
    <w:p w:rsidR="00FD0695" w:rsidRDefault="00FD0695" w:rsidP="00FD0695">
      <w:pPr>
        <w:pStyle w:val="a3"/>
        <w:jc w:val="center"/>
      </w:pPr>
      <w:r>
        <w:t>УСТЬ-ХОПЕРСКОЕ СЕЛЬСКОЕ ПОСЕЛЕНИЕ</w:t>
      </w:r>
    </w:p>
    <w:p w:rsidR="00FD0695" w:rsidRDefault="00FD0695" w:rsidP="00FD0695">
      <w:pPr>
        <w:pStyle w:val="a3"/>
        <w:jc w:val="center"/>
      </w:pPr>
      <w:r>
        <w:t>УСТЬ-ХОПЕРСКИЙ СЕЛЬСКИЙ СОВЕТ ТРЕТЬЕГО СОЗЫВА</w:t>
      </w:r>
    </w:p>
    <w:p w:rsidR="00FD0695" w:rsidRDefault="00FD0695" w:rsidP="00FD0695">
      <w:pPr>
        <w:pStyle w:val="a3"/>
        <w:pBdr>
          <w:bottom w:val="single" w:sz="12" w:space="1" w:color="auto"/>
        </w:pBdr>
        <w:jc w:val="center"/>
      </w:pPr>
      <w:r>
        <w:t>СЕРАФИМОВИЧСКОГО  МУНИЦИПАЛЬНОГО РАЙОНА</w:t>
      </w:r>
    </w:p>
    <w:p w:rsidR="00FD0695" w:rsidRDefault="00FD0695" w:rsidP="00FD0695">
      <w:pPr>
        <w:pStyle w:val="a3"/>
        <w:jc w:val="both"/>
        <w:rPr>
          <w:sz w:val="24"/>
          <w:szCs w:val="24"/>
        </w:rPr>
      </w:pPr>
    </w:p>
    <w:p w:rsidR="00FD0695" w:rsidRDefault="00FD0695" w:rsidP="00FD0695">
      <w:pPr>
        <w:pStyle w:val="a3"/>
        <w:jc w:val="both"/>
        <w:rPr>
          <w:sz w:val="24"/>
          <w:szCs w:val="24"/>
        </w:rPr>
      </w:pPr>
    </w:p>
    <w:p w:rsidR="00FD0695" w:rsidRDefault="00FD0695" w:rsidP="00FD069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D0695" w:rsidRDefault="00FD0695" w:rsidP="00FD069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 10                                                                                                       от  13.11.2014 г.</w:t>
      </w:r>
    </w:p>
    <w:p w:rsidR="00FD0695" w:rsidRDefault="00FD0695" w:rsidP="00FD06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«О налоге на имущество</w:t>
      </w:r>
    </w:p>
    <w:p w:rsidR="00FD0695" w:rsidRDefault="00FD0695" w:rsidP="00FD069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Физических лиц»</w:t>
      </w:r>
    </w:p>
    <w:p w:rsidR="00FD0695" w:rsidRDefault="00FD0695" w:rsidP="00FD0695">
      <w:pPr>
        <w:pStyle w:val="a3"/>
        <w:jc w:val="both"/>
        <w:rPr>
          <w:rFonts w:eastAsia="Times New Roman"/>
          <w:color w:val="000000"/>
          <w:spacing w:val="2"/>
          <w:w w:val="102"/>
          <w:sz w:val="24"/>
          <w:szCs w:val="24"/>
        </w:rPr>
      </w:pPr>
      <w:r>
        <w:rPr>
          <w:rFonts w:eastAsia="Times New Roman"/>
          <w:color w:val="000000"/>
          <w:spacing w:val="-5"/>
          <w:w w:val="102"/>
          <w:sz w:val="24"/>
          <w:szCs w:val="24"/>
        </w:rPr>
        <w:t>В соответствии с Федеральным законом от 04.10.2014 г. № 284-ФЗ «О внесении изменений в статьи  12 и 85 части первой и часть вторую Налогового кодекса Российской Федерации  и признании утратившим силу Закона Российской Федерации «О налогах на имущество физических лиц»</w:t>
      </w:r>
      <w:r>
        <w:rPr>
          <w:rFonts w:eastAsia="Times New Roman"/>
          <w:color w:val="000000"/>
          <w:w w:val="102"/>
          <w:sz w:val="24"/>
          <w:szCs w:val="24"/>
        </w:rPr>
        <w:t>, статьи 4 п.2 Устава Усть-Хоперского сельского поселения Серафимовичского муниципального района</w:t>
      </w:r>
      <w:r>
        <w:rPr>
          <w:rFonts w:eastAsia="Times New Roman"/>
          <w:color w:val="000000"/>
          <w:spacing w:val="2"/>
          <w:w w:val="102"/>
          <w:sz w:val="24"/>
          <w:szCs w:val="24"/>
        </w:rPr>
        <w:t xml:space="preserve">,  </w:t>
      </w:r>
      <w:r w:rsidRPr="001D60BB">
        <w:t>Волгоградской области</w:t>
      </w:r>
      <w:r>
        <w:rPr>
          <w:rFonts w:eastAsia="Times New Roman"/>
          <w:i/>
          <w:color w:val="000000"/>
          <w:spacing w:val="2"/>
          <w:w w:val="10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w w:val="102"/>
          <w:sz w:val="24"/>
          <w:szCs w:val="24"/>
        </w:rPr>
        <w:t xml:space="preserve">,Усть-Хоперский сельский Совет Серафимовичского  муниципального района Волгоградской области       </w:t>
      </w:r>
    </w:p>
    <w:p w:rsidR="00FD0695" w:rsidRPr="001B253A" w:rsidRDefault="00FD0695" w:rsidP="00FD0695">
      <w:pPr>
        <w:pStyle w:val="a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w w:val="102"/>
          <w:sz w:val="24"/>
          <w:szCs w:val="24"/>
        </w:rPr>
        <w:t xml:space="preserve">  решил:</w:t>
      </w:r>
    </w:p>
    <w:p w:rsidR="00FD0695" w:rsidRDefault="00FD0695" w:rsidP="00FD069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69" w:after="0" w:line="274" w:lineRule="exact"/>
        <w:ind w:firstLine="533"/>
        <w:rPr>
          <w:color w:val="000000"/>
          <w:spacing w:val="-27"/>
          <w:w w:val="102"/>
          <w:sz w:val="24"/>
          <w:szCs w:val="24"/>
        </w:rPr>
      </w:pPr>
      <w:r>
        <w:rPr>
          <w:rFonts w:eastAsia="Times New Roman"/>
          <w:color w:val="000000"/>
          <w:spacing w:val="7"/>
          <w:w w:val="102"/>
          <w:sz w:val="24"/>
          <w:szCs w:val="24"/>
        </w:rPr>
        <w:t xml:space="preserve">Ввести на территории  Усть-Хоперского сельского поселения  муниципального района налог на имущество </w:t>
      </w:r>
      <w:r>
        <w:rPr>
          <w:rFonts w:eastAsia="Times New Roman"/>
          <w:color w:val="000000"/>
          <w:spacing w:val="5"/>
          <w:w w:val="102"/>
          <w:sz w:val="24"/>
          <w:szCs w:val="24"/>
        </w:rPr>
        <w:t xml:space="preserve">физических лиц.  Налог на имущество физических лиц вводится в действие настоящим </w:t>
      </w:r>
      <w:r>
        <w:rPr>
          <w:rFonts w:eastAsia="Times New Roman"/>
          <w:color w:val="000000"/>
          <w:spacing w:val="-3"/>
          <w:w w:val="102"/>
          <w:sz w:val="24"/>
          <w:szCs w:val="24"/>
        </w:rPr>
        <w:t>решением и является обязательным к уплате на территории Усть-Хоперского сельского поселения Серафимовичского  муниципального района.</w:t>
      </w:r>
    </w:p>
    <w:p w:rsidR="00FD0695" w:rsidRDefault="00FD0695" w:rsidP="00FD069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firstLine="533"/>
        <w:rPr>
          <w:color w:val="000000"/>
          <w:spacing w:val="-16"/>
          <w:w w:val="102"/>
          <w:sz w:val="24"/>
          <w:szCs w:val="24"/>
        </w:rPr>
      </w:pPr>
      <w:r>
        <w:rPr>
          <w:rFonts w:eastAsia="Times New Roman"/>
          <w:color w:val="000000"/>
          <w:w w:val="102"/>
          <w:sz w:val="24"/>
          <w:szCs w:val="24"/>
        </w:rPr>
        <w:t>Объектом налогообложения признается расположенное в пределах  Усть-Хоперского сельского поселения</w:t>
      </w:r>
      <w:r>
        <w:rPr>
          <w:rFonts w:eastAsia="Times New Roman"/>
          <w:color w:val="000000"/>
          <w:spacing w:val="-4"/>
          <w:w w:val="102"/>
          <w:sz w:val="24"/>
          <w:szCs w:val="24"/>
        </w:rPr>
        <w:t xml:space="preserve">  Серафимовичского  муниципального района следующее имущество:</w:t>
      </w:r>
    </w:p>
    <w:p w:rsidR="00FD0695" w:rsidRDefault="00FD0695" w:rsidP="00FD0695">
      <w:pPr>
        <w:rPr>
          <w:sz w:val="2"/>
          <w:szCs w:val="2"/>
        </w:rPr>
      </w:pPr>
    </w:p>
    <w:p w:rsidR="00FD0695" w:rsidRDefault="00FD0695" w:rsidP="00FD0695">
      <w:pPr>
        <w:pStyle w:val="a3"/>
        <w:rPr>
          <w:spacing w:val="-25"/>
          <w:w w:val="102"/>
        </w:rPr>
      </w:pPr>
      <w:r>
        <w:rPr>
          <w:rFonts w:eastAsia="Times New Roman"/>
          <w:w w:val="102"/>
        </w:rPr>
        <w:t xml:space="preserve">           1)жилой дом;</w:t>
      </w:r>
    </w:p>
    <w:p w:rsidR="00FD0695" w:rsidRDefault="00FD0695" w:rsidP="00FD0695">
      <w:pPr>
        <w:pStyle w:val="a3"/>
        <w:rPr>
          <w:spacing w:val="-17"/>
          <w:w w:val="102"/>
        </w:rPr>
      </w:pPr>
      <w:r>
        <w:rPr>
          <w:rFonts w:eastAsia="Times New Roman"/>
          <w:spacing w:val="-3"/>
          <w:w w:val="102"/>
        </w:rPr>
        <w:t xml:space="preserve">            2)жилое помещение (квартира, комната);</w:t>
      </w:r>
    </w:p>
    <w:p w:rsidR="00FD0695" w:rsidRDefault="00FD0695" w:rsidP="00FD0695">
      <w:pPr>
        <w:pStyle w:val="a3"/>
        <w:rPr>
          <w:spacing w:val="-17"/>
          <w:w w:val="102"/>
        </w:rPr>
      </w:pPr>
      <w:r>
        <w:rPr>
          <w:rFonts w:eastAsia="Times New Roman"/>
          <w:spacing w:val="-3"/>
          <w:w w:val="102"/>
        </w:rPr>
        <w:t xml:space="preserve">             3)гараж, машино-место;</w:t>
      </w:r>
    </w:p>
    <w:p w:rsidR="00FD0695" w:rsidRDefault="00FD0695" w:rsidP="00FD0695">
      <w:pPr>
        <w:pStyle w:val="a3"/>
        <w:rPr>
          <w:spacing w:val="-17"/>
          <w:w w:val="102"/>
        </w:rPr>
      </w:pPr>
      <w:r>
        <w:rPr>
          <w:rFonts w:eastAsia="Times New Roman"/>
          <w:spacing w:val="-3"/>
          <w:w w:val="102"/>
        </w:rPr>
        <w:t xml:space="preserve">             4)единый недвижимый комплекс;</w:t>
      </w:r>
    </w:p>
    <w:p w:rsidR="00FD0695" w:rsidRDefault="00FD0695" w:rsidP="00FD0695">
      <w:pPr>
        <w:pStyle w:val="a3"/>
        <w:rPr>
          <w:sz w:val="20"/>
          <w:szCs w:val="20"/>
        </w:rPr>
      </w:pPr>
      <w:r>
        <w:rPr>
          <w:rFonts w:eastAsia="Times New Roman"/>
          <w:spacing w:val="-5"/>
          <w:w w:val="102"/>
          <w:vertAlign w:val="subscript"/>
        </w:rPr>
        <w:t xml:space="preserve">  </w:t>
      </w:r>
      <w:r>
        <w:rPr>
          <w:rFonts w:eastAsia="Times New Roman"/>
          <w:spacing w:val="-5"/>
          <w:w w:val="102"/>
        </w:rPr>
        <w:t xml:space="preserve">          5) объект незавершенного строительства;</w:t>
      </w:r>
    </w:p>
    <w:p w:rsidR="00FD0695" w:rsidRDefault="00FD0695" w:rsidP="00FD0695">
      <w:pPr>
        <w:pStyle w:val="a3"/>
        <w:rPr>
          <w:rFonts w:eastAsia="Times New Roman"/>
          <w:spacing w:val="-3"/>
          <w:w w:val="102"/>
        </w:rPr>
      </w:pPr>
      <w:r>
        <w:rPr>
          <w:sz w:val="20"/>
          <w:szCs w:val="20"/>
        </w:rPr>
        <w:t xml:space="preserve">             </w:t>
      </w:r>
      <w:r>
        <w:rPr>
          <w:spacing w:val="-3"/>
          <w:w w:val="102"/>
        </w:rPr>
        <w:t xml:space="preserve">6) </w:t>
      </w:r>
      <w:r>
        <w:rPr>
          <w:rFonts w:eastAsia="Times New Roman"/>
          <w:spacing w:val="-3"/>
          <w:w w:val="102"/>
        </w:rPr>
        <w:t>иные здания, строения, сооружения, помещения.</w:t>
      </w:r>
    </w:p>
    <w:p w:rsidR="00FD0695" w:rsidRPr="001E09A8" w:rsidRDefault="00FD0695" w:rsidP="00FD0695">
      <w:pPr>
        <w:pStyle w:val="a3"/>
        <w:rPr>
          <w:sz w:val="20"/>
          <w:szCs w:val="20"/>
        </w:rPr>
      </w:pPr>
    </w:p>
    <w:p w:rsidR="00FD0695" w:rsidRDefault="00FD0695" w:rsidP="00FD0695">
      <w:pPr>
        <w:shd w:val="clear" w:color="auto" w:fill="FFFFFF"/>
        <w:tabs>
          <w:tab w:val="left" w:pos="763"/>
        </w:tabs>
        <w:spacing w:line="274" w:lineRule="exact"/>
        <w:ind w:left="533"/>
      </w:pPr>
      <w:r>
        <w:rPr>
          <w:color w:val="000000"/>
          <w:spacing w:val="-18"/>
          <w:w w:val="102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w w:val="102"/>
          <w:sz w:val="24"/>
          <w:szCs w:val="24"/>
        </w:rPr>
        <w:t>Налоговые ставки.</w:t>
      </w:r>
    </w:p>
    <w:p w:rsidR="00FD0695" w:rsidRDefault="00FD0695" w:rsidP="00FD0695">
      <w:pPr>
        <w:shd w:val="clear" w:color="auto" w:fill="FFFFFF"/>
        <w:spacing w:before="14" w:line="274" w:lineRule="exact"/>
        <w:ind w:left="10" w:right="10" w:firstLine="523"/>
        <w:jc w:val="both"/>
      </w:pPr>
      <w:r>
        <w:rPr>
          <w:b/>
          <w:color w:val="000000"/>
          <w:spacing w:val="-2"/>
          <w:w w:val="102"/>
          <w:sz w:val="24"/>
          <w:szCs w:val="24"/>
        </w:rPr>
        <w:t xml:space="preserve">3.1. </w:t>
      </w:r>
      <w:r>
        <w:rPr>
          <w:rFonts w:eastAsia="Times New Roman"/>
          <w:b/>
          <w:color w:val="000000"/>
          <w:spacing w:val="-2"/>
          <w:w w:val="102"/>
          <w:sz w:val="24"/>
          <w:szCs w:val="24"/>
        </w:rPr>
        <w:t>В случае</w:t>
      </w:r>
      <w:r>
        <w:rPr>
          <w:rFonts w:eastAsia="Times New Roman"/>
          <w:color w:val="000000"/>
          <w:spacing w:val="-2"/>
          <w:w w:val="10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2"/>
          <w:w w:val="102"/>
          <w:sz w:val="24"/>
          <w:szCs w:val="24"/>
        </w:rPr>
        <w:t xml:space="preserve">определения налоговой базы исходя из кадастровой стоимости объекта </w:t>
      </w:r>
      <w:r>
        <w:rPr>
          <w:rFonts w:eastAsia="Times New Roman"/>
          <w:b/>
          <w:color w:val="000000"/>
          <w:spacing w:val="-2"/>
          <w:w w:val="102"/>
          <w:sz w:val="24"/>
          <w:szCs w:val="24"/>
        </w:rPr>
        <w:t>налогообложения</w:t>
      </w:r>
      <w:r>
        <w:rPr>
          <w:rFonts w:eastAsia="Times New Roman"/>
          <w:color w:val="000000"/>
          <w:spacing w:val="-2"/>
          <w:w w:val="102"/>
          <w:sz w:val="24"/>
          <w:szCs w:val="24"/>
        </w:rPr>
        <w:t xml:space="preserve"> ставки налога на имущество физических лиц устанавливаются в отношении:</w:t>
      </w:r>
    </w:p>
    <w:p w:rsidR="00FD0695" w:rsidRDefault="00FD0695" w:rsidP="00FD0695">
      <w:pPr>
        <w:shd w:val="clear" w:color="auto" w:fill="FFFFFF"/>
        <w:spacing w:line="274" w:lineRule="exact"/>
        <w:ind w:left="5" w:firstLine="557"/>
        <w:jc w:val="both"/>
      </w:pPr>
      <w:r>
        <w:rPr>
          <w:color w:val="000000"/>
          <w:spacing w:val="-3"/>
          <w:w w:val="102"/>
          <w:sz w:val="24"/>
          <w:szCs w:val="24"/>
        </w:rPr>
        <w:t xml:space="preserve">1) </w:t>
      </w:r>
      <w:r>
        <w:rPr>
          <w:rFonts w:eastAsia="Times New Roman"/>
          <w:color w:val="000000"/>
          <w:spacing w:val="-3"/>
          <w:w w:val="102"/>
          <w:sz w:val="24"/>
          <w:szCs w:val="24"/>
        </w:rPr>
        <w:t xml:space="preserve">жилых домов, жилых помещений: единых недвижимых комплексов, в состав которых </w:t>
      </w:r>
      <w:r>
        <w:rPr>
          <w:rFonts w:eastAsia="Times New Roman"/>
          <w:color w:val="000000"/>
          <w:w w:val="102"/>
          <w:sz w:val="24"/>
          <w:szCs w:val="24"/>
        </w:rPr>
        <w:t xml:space="preserve">входит хотя бы одно жилое помещение (жилой дом); а также в отношении хозяйственных </w:t>
      </w:r>
      <w:r>
        <w:rPr>
          <w:rFonts w:eastAsia="Times New Roman"/>
          <w:color w:val="000000"/>
          <w:spacing w:val="-3"/>
          <w:w w:val="102"/>
          <w:sz w:val="24"/>
          <w:szCs w:val="24"/>
        </w:rPr>
        <w:t xml:space="preserve">строений или сооружений, площадь каждого из которых не превышает 50 квадратных метров и </w:t>
      </w:r>
      <w:r>
        <w:rPr>
          <w:rFonts w:eastAsia="Times New Roman"/>
          <w:color w:val="000000"/>
          <w:spacing w:val="4"/>
          <w:w w:val="102"/>
          <w:sz w:val="24"/>
          <w:szCs w:val="24"/>
        </w:rPr>
        <w:t xml:space="preserve">которые расположены на земельных участках, предоставленных для ведения личного </w:t>
      </w:r>
      <w:r>
        <w:rPr>
          <w:rFonts w:eastAsia="Times New Roman"/>
          <w:color w:val="000000"/>
          <w:spacing w:val="-3"/>
          <w:w w:val="102"/>
          <w:sz w:val="24"/>
          <w:szCs w:val="24"/>
        </w:rPr>
        <w:t>подсобного, дачного хозяйства, огородничества, садоводства или индивидуального жилищного строительства, в следующих размерах:</w:t>
      </w:r>
    </w:p>
    <w:p w:rsidR="00FD0695" w:rsidRDefault="00FD0695" w:rsidP="00FD0695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14"/>
        <w:gridCol w:w="4796"/>
      </w:tblGrid>
      <w:tr w:rsidR="00FD0695" w:rsidTr="00516450">
        <w:trPr>
          <w:trHeight w:hRule="exact" w:val="669"/>
        </w:trPr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658" w:right="850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  <w:w w:val="102"/>
                <w:sz w:val="24"/>
                <w:szCs w:val="24"/>
              </w:rPr>
              <w:t xml:space="preserve">Кадастровая стоимость объекта      налогообложения                 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658" w:right="850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  <w:w w:val="102"/>
                <w:sz w:val="24"/>
                <w:szCs w:val="24"/>
              </w:rPr>
              <w:t xml:space="preserve">Ставка налога (в процентах) </w:t>
            </w:r>
          </w:p>
        </w:tc>
      </w:tr>
      <w:tr w:rsidR="00FD0695" w:rsidTr="00516450">
        <w:trPr>
          <w:trHeight w:hRule="exact" w:val="269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0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5"/>
                <w:w w:val="102"/>
                <w:sz w:val="24"/>
                <w:szCs w:val="24"/>
              </w:rPr>
              <w:t>До 500,0 тыс, рублей (включительно)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150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FD0695" w:rsidTr="00516450">
        <w:trPr>
          <w:trHeight w:hRule="exact" w:val="55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456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5"/>
                <w:w w:val="102"/>
                <w:sz w:val="24"/>
                <w:szCs w:val="24"/>
              </w:rPr>
              <w:t xml:space="preserve">Свыше 500,0 тыс. рублей до 1000,0 тыс. </w:t>
            </w:r>
            <w:r>
              <w:rPr>
                <w:rFonts w:eastAsia="Times New Roman"/>
                <w:color w:val="000000"/>
                <w:spacing w:val="-3"/>
                <w:w w:val="102"/>
                <w:sz w:val="24"/>
                <w:szCs w:val="24"/>
              </w:rPr>
              <w:t>рублей (включительно)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150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D0695" w:rsidTr="00516450">
        <w:trPr>
          <w:trHeight w:hRule="exact" w:val="55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5"/>
                <w:w w:val="102"/>
                <w:sz w:val="24"/>
                <w:szCs w:val="24"/>
              </w:rPr>
              <w:t xml:space="preserve">Свыше 1000,0 тыс. рублей до 10000,0 тыс. </w:t>
            </w:r>
            <w:r>
              <w:rPr>
                <w:rFonts w:eastAsia="Times New Roman"/>
                <w:color w:val="000000"/>
                <w:spacing w:val="-3"/>
                <w:w w:val="102"/>
                <w:sz w:val="24"/>
                <w:szCs w:val="24"/>
              </w:rPr>
              <w:t>рублей (включительно)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146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FD0695" w:rsidTr="00516450">
        <w:trPr>
          <w:trHeight w:hRule="exact" w:val="56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 w:right="101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5"/>
                <w:w w:val="102"/>
                <w:sz w:val="24"/>
                <w:szCs w:val="24"/>
              </w:rPr>
              <w:t xml:space="preserve">Свыше 10000,0 тыс. рублей до 20000,0 тыс. </w:t>
            </w:r>
            <w:r>
              <w:rPr>
                <w:rFonts w:eastAsia="Times New Roman"/>
                <w:color w:val="000000"/>
                <w:spacing w:val="-3"/>
                <w:w w:val="102"/>
                <w:sz w:val="24"/>
                <w:szCs w:val="24"/>
              </w:rPr>
              <w:t>рублей</w:t>
            </w:r>
            <w:r>
              <w:rPr>
                <w:rFonts w:eastAsia="Times New Roman"/>
                <w:color w:val="000000"/>
                <w:spacing w:val="11"/>
              </w:rPr>
              <w:t xml:space="preserve"> (включительно)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088"/>
              <w:rPr>
                <w:rFonts w:ascii="Times New Roman" w:hAnsi="Times New Roman"/>
              </w:rPr>
            </w:pPr>
            <w:r>
              <w:rPr>
                <w:color w:val="000000"/>
                <w:spacing w:val="-11"/>
                <w:w w:val="102"/>
                <w:sz w:val="24"/>
                <w:szCs w:val="24"/>
              </w:rPr>
              <w:t>0,15</w:t>
            </w:r>
          </w:p>
        </w:tc>
      </w:tr>
      <w:tr w:rsidR="00FD0695" w:rsidTr="00516450">
        <w:trPr>
          <w:trHeight w:hRule="exact" w:val="55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  <w:w w:val="102"/>
                <w:sz w:val="24"/>
                <w:szCs w:val="24"/>
              </w:rPr>
              <w:lastRenderedPageBreak/>
              <w:t xml:space="preserve">Свыше 20000,0 тыс. рублей до 50000,0 тыс. </w:t>
            </w:r>
            <w:r>
              <w:rPr>
                <w:rFonts w:eastAsia="Times New Roman"/>
                <w:color w:val="000000"/>
                <w:spacing w:val="-4"/>
                <w:w w:val="102"/>
                <w:sz w:val="24"/>
                <w:szCs w:val="24"/>
              </w:rPr>
              <w:t>рублей (включительно)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146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D0695" w:rsidTr="00516450">
        <w:trPr>
          <w:trHeight w:hRule="exact" w:val="58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466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5"/>
                <w:w w:val="102"/>
                <w:sz w:val="24"/>
                <w:szCs w:val="24"/>
              </w:rPr>
              <w:t xml:space="preserve">Свыше 50000,0 тыс. рублей до 300000,0 </w:t>
            </w:r>
            <w:r>
              <w:rPr>
                <w:rFonts w:eastAsia="Times New Roman"/>
                <w:color w:val="000000"/>
                <w:spacing w:val="-3"/>
                <w:w w:val="102"/>
                <w:sz w:val="24"/>
                <w:szCs w:val="24"/>
              </w:rPr>
              <w:t>тыс. рублей (включительно)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146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FD0695" w:rsidRDefault="00FD0695" w:rsidP="00FD0695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firstLine="528"/>
        <w:rPr>
          <w:color w:val="000000"/>
          <w:spacing w:val="-12"/>
          <w:w w:val="102"/>
          <w:sz w:val="24"/>
          <w:szCs w:val="24"/>
        </w:rPr>
      </w:pPr>
      <w:r>
        <w:rPr>
          <w:rFonts w:eastAsia="Times New Roman"/>
          <w:color w:val="000000"/>
          <w:spacing w:val="3"/>
          <w:w w:val="102"/>
          <w:sz w:val="24"/>
          <w:szCs w:val="24"/>
        </w:rPr>
        <w:t xml:space="preserve">гаражей и машино-мест   - в размере   0,1  процента кадастровой стоимости объекта </w:t>
      </w:r>
      <w:r>
        <w:rPr>
          <w:rFonts w:eastAsia="Times New Roman"/>
          <w:color w:val="000000"/>
          <w:spacing w:val="-5"/>
          <w:w w:val="102"/>
          <w:sz w:val="24"/>
          <w:szCs w:val="24"/>
        </w:rPr>
        <w:t>налогообложения;</w:t>
      </w:r>
    </w:p>
    <w:p w:rsidR="00FD0695" w:rsidRDefault="00FD0695" w:rsidP="00FD0695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24" w:after="0" w:line="269" w:lineRule="exact"/>
        <w:ind w:firstLine="528"/>
        <w:rPr>
          <w:color w:val="000000"/>
          <w:spacing w:val="-16"/>
          <w:w w:val="102"/>
          <w:sz w:val="24"/>
          <w:szCs w:val="24"/>
        </w:rPr>
      </w:pPr>
      <w:r>
        <w:rPr>
          <w:rFonts w:eastAsia="Times New Roman"/>
          <w:color w:val="000000"/>
          <w:spacing w:val="1"/>
          <w:w w:val="102"/>
          <w:sz w:val="24"/>
          <w:szCs w:val="24"/>
        </w:rPr>
        <w:t>объектов незавершенного строительства в случае, если проектируемым назначением</w:t>
      </w:r>
      <w:r>
        <w:rPr>
          <w:rFonts w:eastAsia="Times New Roman"/>
          <w:color w:val="000000"/>
          <w:spacing w:val="1"/>
          <w:w w:val="102"/>
          <w:sz w:val="24"/>
          <w:szCs w:val="24"/>
        </w:rPr>
        <w:br/>
        <w:t>таких объектов является жилой дом, - в размере 0,3 процента кадастровой стоимости объекта</w:t>
      </w:r>
    </w:p>
    <w:p w:rsidR="00FD0695" w:rsidRDefault="00FD0695" w:rsidP="00FD0695">
      <w:pPr>
        <w:shd w:val="clear" w:color="auto" w:fill="FFFFFF"/>
        <w:spacing w:line="278" w:lineRule="exact"/>
        <w:ind w:left="14"/>
        <w:rPr>
          <w:sz w:val="20"/>
          <w:szCs w:val="20"/>
        </w:rPr>
      </w:pPr>
      <w:r>
        <w:rPr>
          <w:rFonts w:eastAsia="Times New Roman"/>
          <w:color w:val="000000"/>
          <w:spacing w:val="-3"/>
          <w:sz w:val="24"/>
          <w:szCs w:val="24"/>
        </w:rPr>
        <w:t>налогообложения;</w:t>
      </w:r>
    </w:p>
    <w:p w:rsidR="00FD0695" w:rsidRDefault="00FD0695" w:rsidP="00FD0695">
      <w:pPr>
        <w:shd w:val="clear" w:color="auto" w:fill="FFFFFF"/>
        <w:spacing w:line="278" w:lineRule="exact"/>
        <w:ind w:left="10" w:right="19" w:firstLine="696"/>
        <w:jc w:val="both"/>
      </w:pPr>
      <w:r>
        <w:rPr>
          <w:color w:val="000000"/>
          <w:spacing w:val="-1"/>
          <w:sz w:val="24"/>
          <w:szCs w:val="24"/>
        </w:rPr>
        <w:t xml:space="preserve">4)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объектов налогообложения, включенных в перечень, определяемый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соответствии с </w:t>
      </w:r>
      <w:r>
        <w:rPr>
          <w:rFonts w:eastAsia="Times New Roman"/>
          <w:color w:val="000000"/>
          <w:sz w:val="24"/>
          <w:szCs w:val="24"/>
        </w:rPr>
        <w:t xml:space="preserve">пунктом 7 статьи 378.2 Налогового кодекса Российской Федерации, в отношении объектов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налогообложения, предусмотренных абзацем вторым пункта 10 статьи 378.2 Налогового кодекса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Российской Федерации, а также в отношении объектов налогообложения, кадастровая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стоимость каждого из которых превышает 300 млн. рублей, - в размере 2,0 процентов </w:t>
      </w:r>
      <w:r>
        <w:rPr>
          <w:rFonts w:eastAsia="Times New Roman"/>
          <w:color w:val="000000"/>
          <w:spacing w:val="-1"/>
          <w:sz w:val="24"/>
          <w:szCs w:val="24"/>
        </w:rPr>
        <w:t>кадастровой стоимости объекта налогообложения;</w:t>
      </w:r>
    </w:p>
    <w:p w:rsidR="00FD0695" w:rsidRDefault="00FD0695" w:rsidP="00FD0695">
      <w:pPr>
        <w:shd w:val="clear" w:color="auto" w:fill="FFFFFF"/>
        <w:spacing w:line="298" w:lineRule="exact"/>
        <w:ind w:left="24" w:right="19" w:firstLine="538"/>
        <w:jc w:val="both"/>
      </w:pPr>
      <w:r>
        <w:rPr>
          <w:color w:val="000000"/>
          <w:spacing w:val="2"/>
          <w:sz w:val="24"/>
          <w:szCs w:val="24"/>
        </w:rPr>
        <w:t xml:space="preserve">5)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прочих объектов налогообложения - в размере 0,5 процента кадастровой стоимости </w:t>
      </w:r>
      <w:r>
        <w:rPr>
          <w:rFonts w:eastAsia="Times New Roman"/>
          <w:color w:val="000000"/>
          <w:spacing w:val="-1"/>
          <w:sz w:val="24"/>
          <w:szCs w:val="24"/>
        </w:rPr>
        <w:t>объекта налогообложения</w:t>
      </w:r>
    </w:p>
    <w:p w:rsidR="00FD0695" w:rsidRDefault="00FD0695" w:rsidP="00FD0695">
      <w:pPr>
        <w:shd w:val="clear" w:color="auto" w:fill="FFFFFF"/>
        <w:spacing w:before="264" w:line="269" w:lineRule="exact"/>
        <w:ind w:left="24" w:firstLine="533"/>
        <w:jc w:val="both"/>
      </w:pPr>
      <w:r>
        <w:rPr>
          <w:color w:val="000000"/>
          <w:spacing w:val="1"/>
          <w:sz w:val="24"/>
          <w:szCs w:val="24"/>
        </w:rPr>
        <w:t xml:space="preserve">3.2. </w:t>
      </w:r>
      <w:r>
        <w:rPr>
          <w:rFonts w:eastAsia="Times New Roman"/>
          <w:b/>
          <w:color w:val="000000"/>
          <w:spacing w:val="1"/>
          <w:sz w:val="24"/>
          <w:szCs w:val="24"/>
        </w:rPr>
        <w:t>В случае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определения налоговой базы исходя из инвентаризационной стоимости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налоговые ставки устанавливаются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на основе умноженной на коэффициент-дефлятор суммарной инвентаризационной стоимости объектов налогообложения, принадлежащих на </w:t>
      </w:r>
      <w:r>
        <w:rPr>
          <w:rFonts w:eastAsia="Times New Roman"/>
          <w:color w:val="000000"/>
          <w:sz w:val="24"/>
          <w:szCs w:val="24"/>
        </w:rPr>
        <w:t xml:space="preserve">праве собственности налогоплательщику (с учетом доли налогоплательщика в праве общей </w:t>
      </w:r>
      <w:r>
        <w:rPr>
          <w:rFonts w:eastAsia="Times New Roman"/>
          <w:color w:val="000000"/>
          <w:spacing w:val="-1"/>
          <w:sz w:val="24"/>
          <w:szCs w:val="24"/>
        </w:rPr>
        <w:t>собственности на каждый из таких объектов), в следующих пределах:</w:t>
      </w:r>
    </w:p>
    <w:p w:rsidR="00FD0695" w:rsidRDefault="00FD0695" w:rsidP="00FD0695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82"/>
        <w:gridCol w:w="1603"/>
        <w:gridCol w:w="2458"/>
        <w:gridCol w:w="2074"/>
      </w:tblGrid>
      <w:tr w:rsidR="00FD0695" w:rsidTr="00516450">
        <w:trPr>
          <w:trHeight w:hRule="exact" w:val="806"/>
        </w:trPr>
        <w:tc>
          <w:tcPr>
            <w:tcW w:w="3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shd w:val="clear" w:color="auto" w:fill="FFFFFF"/>
              <w:tabs>
                <w:tab w:val="left" w:leader="dot" w:pos="2112"/>
                <w:tab w:val="left" w:leader="dot" w:pos="2717"/>
                <w:tab w:val="left" w:leader="dot" w:pos="3096"/>
                <w:tab w:val="left" w:leader="dot" w:pos="3662"/>
              </w:tabs>
              <w:spacing w:line="187" w:lineRule="exact"/>
              <w:ind w:left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Суммарная инвентаризационная</w:t>
            </w:r>
          </w:p>
          <w:p w:rsidR="00FD0695" w:rsidRDefault="00FD0695" w:rsidP="00516450">
            <w:pPr>
              <w:shd w:val="clear" w:color="auto" w:fill="FFFFFF"/>
              <w:spacing w:line="278" w:lineRule="exact"/>
              <w:ind w:left="67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стоимость объектов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налогообложения, умноженная на коэффициент-дефлятор (с учетом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доли налогоплательщика в праве общей собственности на каждый из таких объектов)</w:t>
            </w:r>
          </w:p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67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000000"/>
                <w:sz w:val="2"/>
                <w:szCs w:val="2"/>
              </w:rPr>
              <w:t>■</w:t>
            </w:r>
          </w:p>
        </w:tc>
        <w:tc>
          <w:tcPr>
            <w:tcW w:w="6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507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Ставка налога (в процентах)                       </w:t>
            </w:r>
          </w:p>
        </w:tc>
      </w:tr>
      <w:tr w:rsidR="00FD0695" w:rsidTr="00516450">
        <w:trPr>
          <w:trHeight w:hRule="exact" w:val="797"/>
        </w:trPr>
        <w:tc>
          <w:tcPr>
            <w:tcW w:w="3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95" w:rsidRDefault="00FD0695" w:rsidP="00516450">
            <w:pPr>
              <w:rPr>
                <w:rFonts w:ascii="Times New Roman" w:hAnsi="Times New Roman"/>
              </w:rPr>
            </w:pP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695" w:rsidRDefault="00FD0695" w:rsidP="0051645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39" w:right="86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Жилые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помещения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18" w:right="509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Нежилые помещения, строения,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сооружения</w:t>
            </w:r>
          </w:p>
        </w:tc>
      </w:tr>
      <w:tr w:rsidR="00FD0695" w:rsidTr="00516450">
        <w:trPr>
          <w:trHeight w:hRule="exact" w:val="1546"/>
        </w:trPr>
        <w:tc>
          <w:tcPr>
            <w:tcW w:w="3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95" w:rsidRDefault="00FD0695" w:rsidP="00516450">
            <w:pPr>
              <w:rPr>
                <w:rFonts w:ascii="Times New Roman" w:hAnsi="Times New Roman"/>
              </w:rPr>
            </w:pPr>
          </w:p>
        </w:tc>
        <w:tc>
          <w:tcPr>
            <w:tcW w:w="6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95" w:rsidRDefault="00FD0695" w:rsidP="00516450">
            <w:pPr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695" w:rsidRDefault="00FD0695" w:rsidP="0051645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0695" w:rsidRDefault="00FD0695" w:rsidP="00516450">
            <w:pPr>
              <w:spacing w:line="256" w:lineRule="auto"/>
            </w:pPr>
          </w:p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39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не используемые для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     осуществления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предпринимательско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й деятельности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используемые для |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осуществления предприниматель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ской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деятельности</w:t>
            </w:r>
          </w:p>
        </w:tc>
      </w:tr>
      <w:tr w:rsidR="00FD0695" w:rsidTr="00516450">
        <w:trPr>
          <w:trHeight w:hRule="exact" w:val="442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 300000,0 руб. (включительно)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D0695" w:rsidTr="00516450">
        <w:trPr>
          <w:trHeight w:hRule="exact" w:val="749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34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Свыше 300000,0 руб. до 500000,0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руб. (включительно)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D0695" w:rsidTr="00516450">
        <w:trPr>
          <w:trHeight w:hRule="exact" w:val="480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19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Свыше 500000,0 руб.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695" w:rsidRDefault="00FD0695" w:rsidP="00516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FD0695" w:rsidRDefault="00FD0695" w:rsidP="00FD0695">
      <w:pPr>
        <w:shd w:val="clear" w:color="auto" w:fill="FFFFFF"/>
        <w:spacing w:before="259" w:line="274" w:lineRule="exact"/>
        <w:ind w:left="566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4. </w:t>
      </w:r>
      <w:r>
        <w:rPr>
          <w:rFonts w:eastAsia="Times New Roman"/>
          <w:color w:val="000000"/>
          <w:sz w:val="24"/>
          <w:szCs w:val="24"/>
        </w:rPr>
        <w:t>Установить, что налоговую льготу имеют следующие категории налогоплательщиков:</w:t>
      </w:r>
    </w:p>
    <w:p w:rsidR="00FD0695" w:rsidRDefault="00FD0695" w:rsidP="00FD0695">
      <w:pPr>
        <w:shd w:val="clear" w:color="auto" w:fill="FFFFFF"/>
        <w:tabs>
          <w:tab w:val="left" w:pos="1056"/>
        </w:tabs>
        <w:spacing w:line="274" w:lineRule="exact"/>
        <w:ind w:left="38" w:firstLine="533"/>
      </w:pPr>
      <w:r>
        <w:rPr>
          <w:color w:val="000000"/>
          <w:spacing w:val="-9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Физические лица, установленные статьей 407 главы 32 части второй Налогового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Кодекса РФ.</w:t>
      </w:r>
    </w:p>
    <w:p w:rsidR="00FD0695" w:rsidRDefault="00FD0695" w:rsidP="00FD0695">
      <w:pPr>
        <w:pStyle w:val="a3"/>
      </w:pPr>
      <w:r>
        <w:rPr>
          <w:spacing w:val="-8"/>
        </w:rPr>
        <w:t>4.2.</w:t>
      </w:r>
      <w:r>
        <w:tab/>
      </w:r>
      <w:r>
        <w:rPr>
          <w:rFonts w:eastAsia="Times New Roman"/>
        </w:rPr>
        <w:t>Совместно проживающие родители и дети многодетных семей, признанных таковыми</w:t>
      </w:r>
      <w:r>
        <w:rPr>
          <w:rFonts w:eastAsia="Times New Roman"/>
        </w:rPr>
        <w:br/>
      </w:r>
      <w:r>
        <w:rPr>
          <w:rFonts w:eastAsia="Times New Roman"/>
          <w:spacing w:val="3"/>
        </w:rPr>
        <w:t>согласно Закону</w:t>
      </w:r>
      <w:r>
        <w:rPr>
          <w:rFonts w:eastAsia="Times New Roman"/>
          <w:i/>
          <w:iCs/>
          <w:spacing w:val="3"/>
        </w:rPr>
        <w:t xml:space="preserve"> </w:t>
      </w:r>
      <w:r>
        <w:rPr>
          <w:rFonts w:eastAsia="Times New Roman"/>
          <w:spacing w:val="3"/>
        </w:rPr>
        <w:t>Волгоградской области от 21 ноября 2008 г. N 1775-ОД "О мерах социальной поддержки многодетных семей</w:t>
      </w:r>
      <w:r>
        <w:rPr>
          <w:rFonts w:eastAsia="Times New Roman"/>
        </w:rPr>
        <w:t xml:space="preserve"> в Волгоградской области", за исключением детей, находящихся на полном государственном  обеспечении.</w:t>
      </w:r>
    </w:p>
    <w:p w:rsidR="00FD0695" w:rsidRDefault="00FD0695" w:rsidP="00FD0695">
      <w:pPr>
        <w:pStyle w:val="a3"/>
      </w:pPr>
      <w:r>
        <w:rPr>
          <w:rFonts w:eastAsia="Times New Roman"/>
        </w:rPr>
        <w:t>Льгота предоставляется на основании ежегодно представляемых документов:</w:t>
      </w:r>
    </w:p>
    <w:p w:rsidR="00FD0695" w:rsidRDefault="00FD0695" w:rsidP="00FD0695">
      <w:pPr>
        <w:pStyle w:val="a3"/>
      </w:pPr>
      <w:r>
        <w:rPr>
          <w:rFonts w:eastAsia="Times New Roman"/>
          <w:spacing w:val="-1"/>
        </w:rPr>
        <w:lastRenderedPageBreak/>
        <w:t>справки   с   места   жительства   о   составе   семьи,   подтверждающей   проживание  детей совместно с родителями;</w:t>
      </w:r>
    </w:p>
    <w:p w:rsidR="00FD0695" w:rsidRDefault="00FD0695" w:rsidP="00FD0695">
      <w:pPr>
        <w:pStyle w:val="a3"/>
      </w:pPr>
      <w:r>
        <w:rPr>
          <w:spacing w:val="-2"/>
        </w:rPr>
        <w:t xml:space="preserve">      </w:t>
      </w:r>
      <w:r>
        <w:rPr>
          <w:rFonts w:eastAsia="Times New Roman"/>
          <w:spacing w:val="-2"/>
        </w:rPr>
        <w:t xml:space="preserve">удостоверения установленного образца, подтверждающего статус многодетной семьи; </w:t>
      </w:r>
      <w:r>
        <w:rPr>
          <w:rFonts w:eastAsia="Times New Roman"/>
        </w:rPr>
        <w:t>свидетельства о рождении детей;</w:t>
      </w:r>
    </w:p>
    <w:p w:rsidR="00FD0695" w:rsidRDefault="00FD0695" w:rsidP="00FD0695">
      <w:pPr>
        <w:pStyle w:val="a3"/>
        <w:rPr>
          <w:rFonts w:eastAsia="Times New Roman"/>
        </w:rPr>
      </w:pPr>
      <w:r>
        <w:t xml:space="preserve">     </w:t>
      </w:r>
      <w:r>
        <w:rPr>
          <w:rFonts w:eastAsia="Times New Roman"/>
        </w:rPr>
        <w:t xml:space="preserve">справки    образовательного    учреждения    начального    профессионального,     </w:t>
      </w:r>
    </w:p>
    <w:p w:rsidR="00FD0695" w:rsidRDefault="00FD0695" w:rsidP="00FD0695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среднего профессионального и высшего профессионального образования,  </w:t>
      </w:r>
    </w:p>
    <w:p w:rsidR="00FD0695" w:rsidRDefault="00FD0695" w:rsidP="00FD0695">
      <w:pPr>
        <w:pStyle w:val="a3"/>
        <w:rPr>
          <w:sz w:val="20"/>
          <w:szCs w:val="20"/>
        </w:rPr>
      </w:pPr>
      <w:r>
        <w:rPr>
          <w:rFonts w:eastAsia="Times New Roman"/>
        </w:rPr>
        <w:t xml:space="preserve">     подтверждающей обучение по </w:t>
      </w:r>
      <w:r>
        <w:rPr>
          <w:rFonts w:eastAsia="Times New Roman"/>
          <w:spacing w:val="-4"/>
        </w:rPr>
        <w:t>очной форме.</w:t>
      </w:r>
    </w:p>
    <w:p w:rsidR="00FD0695" w:rsidRDefault="00FD0695" w:rsidP="00FD0695">
      <w:pPr>
        <w:pStyle w:val="a3"/>
      </w:pPr>
      <w:r>
        <w:rPr>
          <w:spacing w:val="-8"/>
        </w:rPr>
        <w:t>4.3.</w:t>
      </w:r>
      <w:r>
        <w:tab/>
      </w:r>
      <w:r>
        <w:rPr>
          <w:rFonts w:eastAsia="Times New Roman"/>
          <w:spacing w:val="6"/>
        </w:rPr>
        <w:t>Собственники,  имеющие на иждивении детей-инвалидов, за исключением детей,</w:t>
      </w:r>
      <w:r>
        <w:rPr>
          <w:rFonts w:eastAsia="Times New Roman"/>
          <w:spacing w:val="6"/>
        </w:rPr>
        <w:br/>
      </w:r>
      <w:r>
        <w:rPr>
          <w:rFonts w:eastAsia="Times New Roman"/>
          <w:spacing w:val="-1"/>
        </w:rPr>
        <w:t>находящихся на полном государственном обеспечении.</w:t>
      </w:r>
    </w:p>
    <w:p w:rsidR="00FD0695" w:rsidRDefault="00FD0695" w:rsidP="00FD0695">
      <w:pPr>
        <w:pStyle w:val="a3"/>
        <w:rPr>
          <w:rFonts w:eastAsia="Times New Roman"/>
        </w:rPr>
      </w:pPr>
      <w:r>
        <w:rPr>
          <w:rFonts w:eastAsia="Times New Roman"/>
        </w:rPr>
        <w:t>Льгота предоставляется на основании ежегодно представляемых документов:</w:t>
      </w:r>
    </w:p>
    <w:p w:rsidR="00FD0695" w:rsidRDefault="00FD0695" w:rsidP="00FD0695">
      <w:pPr>
        <w:pStyle w:val="a3"/>
        <w:rPr>
          <w:sz w:val="20"/>
          <w:szCs w:val="20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pacing w:val="2"/>
        </w:rPr>
        <w:t xml:space="preserve">справки   с   места  жительства  о   составе   семьи,   подтверждающей  проживание  детей </w:t>
      </w:r>
      <w:r>
        <w:rPr>
          <w:rFonts w:eastAsia="Times New Roman"/>
          <w:spacing w:val="-2"/>
        </w:rPr>
        <w:t>совместно с родителями;</w:t>
      </w:r>
    </w:p>
    <w:p w:rsidR="00FD0695" w:rsidRDefault="00FD0695" w:rsidP="00FD0695">
      <w:pPr>
        <w:pStyle w:val="a3"/>
        <w:rPr>
          <w:rFonts w:eastAsia="Times New Roman"/>
        </w:rPr>
      </w:pPr>
      <w:r>
        <w:rPr>
          <w:rFonts w:eastAsia="Times New Roman"/>
        </w:rPr>
        <w:t>свидетельства о рождении детей</w:t>
      </w:r>
    </w:p>
    <w:p w:rsidR="00FD0695" w:rsidRDefault="00FD0695" w:rsidP="00FD0695">
      <w:pPr>
        <w:pStyle w:val="a3"/>
      </w:pPr>
      <w:r>
        <w:rPr>
          <w:rFonts w:eastAsia="Times New Roman"/>
        </w:rPr>
        <w:t>справки, подтверждающей факт установления инвалидности;</w:t>
      </w:r>
    </w:p>
    <w:p w:rsidR="00FD0695" w:rsidRDefault="00FD0695" w:rsidP="00FD0695">
      <w:pPr>
        <w:pStyle w:val="a3"/>
      </w:pPr>
      <w:r>
        <w:rPr>
          <w:rFonts w:eastAsia="Times New Roman"/>
        </w:rPr>
        <w:t>пенсионного удостоверения ребенка-инвалида.</w:t>
      </w:r>
    </w:p>
    <w:p w:rsidR="00FD0695" w:rsidRDefault="00FD0695" w:rsidP="00FD0695">
      <w:pPr>
        <w:pStyle w:val="a3"/>
      </w:pPr>
      <w:r>
        <w:rPr>
          <w:spacing w:val="7"/>
        </w:rPr>
        <w:t xml:space="preserve">4.4. </w:t>
      </w:r>
      <w:r>
        <w:rPr>
          <w:rFonts w:eastAsia="Times New Roman"/>
          <w:spacing w:val="7"/>
        </w:rPr>
        <w:t xml:space="preserve">Установить, что категории физических лиц, указанные в подпунктах 4.2, 4.3 </w:t>
      </w:r>
      <w:r>
        <w:rPr>
          <w:rFonts w:eastAsia="Times New Roman"/>
        </w:rPr>
        <w:t>настоящего решения, могут воспользоваться льготой только по одному жилому помещению по выбору налогоплательщика.</w:t>
      </w:r>
    </w:p>
    <w:p w:rsidR="00FD0695" w:rsidRDefault="00FD0695" w:rsidP="00FD0695">
      <w:pPr>
        <w:pStyle w:val="a3"/>
      </w:pPr>
      <w:r>
        <w:rPr>
          <w:spacing w:val="-16"/>
        </w:rPr>
        <w:t>5.</w:t>
      </w:r>
      <w:r>
        <w:tab/>
      </w:r>
      <w:r>
        <w:rPr>
          <w:rFonts w:eastAsia="Times New Roman"/>
          <w:spacing w:val="4"/>
        </w:rPr>
        <w:t xml:space="preserve">Налог на имущество физических: лиц вводится в действие на территории сельского </w:t>
      </w:r>
      <w:r>
        <w:rPr>
          <w:rFonts w:eastAsia="Times New Roman"/>
          <w:spacing w:val="4"/>
        </w:rPr>
        <w:br/>
      </w:r>
      <w:r>
        <w:rPr>
          <w:rFonts w:eastAsia="Times New Roman"/>
          <w:spacing w:val="2"/>
        </w:rPr>
        <w:t>сельского поселения с 1 января 2015 года.</w:t>
      </w:r>
    </w:p>
    <w:p w:rsidR="00FD0695" w:rsidRDefault="00FD0695" w:rsidP="00FD0695">
      <w:pPr>
        <w:pStyle w:val="a3"/>
        <w:rPr>
          <w:rFonts w:eastAsia="Times New Roman"/>
          <w:spacing w:val="-3"/>
        </w:rPr>
      </w:pPr>
      <w:r>
        <w:rPr>
          <w:spacing w:val="1"/>
        </w:rPr>
        <w:t xml:space="preserve">5.1. </w:t>
      </w:r>
      <w:r>
        <w:rPr>
          <w:rFonts w:eastAsia="Times New Roman"/>
          <w:spacing w:val="1"/>
        </w:rPr>
        <w:t>Налог подлежит уплате налогоплательщиками в срок не позднее 1 октября года,</w:t>
      </w:r>
      <w:r>
        <w:rPr>
          <w:rFonts w:eastAsia="Times New Roman"/>
          <w:spacing w:val="1"/>
        </w:rPr>
        <w:br/>
      </w:r>
      <w:r>
        <w:rPr>
          <w:rFonts w:eastAsia="Times New Roman"/>
          <w:spacing w:val="-3"/>
        </w:rPr>
        <w:t>следующего за истекшим налоговым периодом.</w:t>
      </w:r>
    </w:p>
    <w:p w:rsidR="00FD0695" w:rsidRDefault="00FD0695" w:rsidP="00FD0695">
      <w:pPr>
        <w:pStyle w:val="a3"/>
        <w:rPr>
          <w:rFonts w:eastAsia="Times New Roman"/>
        </w:rPr>
      </w:pPr>
      <w:r>
        <w:rPr>
          <w:spacing w:val="-19"/>
        </w:rPr>
        <w:t xml:space="preserve">6.  </w:t>
      </w:r>
      <w:r>
        <w:rPr>
          <w:rFonts w:eastAsia="Times New Roman"/>
          <w:spacing w:val="4"/>
        </w:rPr>
        <w:t>С  момента  установления  Волгоградской  областной Думой единой даты  начала</w:t>
      </w:r>
      <w:r>
        <w:rPr>
          <w:rFonts w:eastAsia="Times New Roman"/>
          <w:spacing w:val="4"/>
        </w:rPr>
        <w:br/>
      </w:r>
      <w:r>
        <w:rPr>
          <w:rFonts w:eastAsia="Times New Roman"/>
        </w:rPr>
        <w:t>применения на территории Волгоградской области Российской Федерации порядка определения</w:t>
      </w:r>
      <w:r>
        <w:rPr>
          <w:rFonts w:eastAsia="Times New Roman"/>
        </w:rPr>
        <w:br/>
      </w:r>
      <w:r>
        <w:rPr>
          <w:rFonts w:eastAsia="Times New Roman"/>
          <w:spacing w:val="5"/>
        </w:rPr>
        <w:t>налоговой базы исходя из кадастровой стоимости объектов налогообложения подпункт 3.2.</w:t>
      </w:r>
      <w:r>
        <w:rPr>
          <w:rFonts w:eastAsia="Times New Roman"/>
          <w:spacing w:val="5"/>
        </w:rPr>
        <w:br/>
      </w:r>
      <w:r>
        <w:rPr>
          <w:rFonts w:eastAsia="Times New Roman"/>
        </w:rPr>
        <w:t>пункта 3 настоящего Решения утрачивает силу.</w:t>
      </w:r>
    </w:p>
    <w:p w:rsidR="00FD0695" w:rsidRDefault="00FD0695" w:rsidP="00FD0695">
      <w:pPr>
        <w:pStyle w:val="a3"/>
        <w:rPr>
          <w:rFonts w:eastAsia="Times New Roman"/>
        </w:rPr>
      </w:pPr>
      <w:r>
        <w:rPr>
          <w:spacing w:val="-19"/>
        </w:rPr>
        <w:t>7.</w:t>
      </w:r>
      <w:r>
        <w:rPr>
          <w:rFonts w:eastAsia="Times New Roman"/>
          <w:spacing w:val="1"/>
        </w:rPr>
        <w:t xml:space="preserve"> Настоящее решение вступает в силу с 1 января 2015 года, но не ранее чем по истечении</w:t>
      </w:r>
      <w:r>
        <w:rPr>
          <w:rFonts w:eastAsia="Times New Roman"/>
          <w:spacing w:val="1"/>
        </w:rPr>
        <w:br/>
      </w:r>
      <w:r>
        <w:rPr>
          <w:rFonts w:eastAsia="Times New Roman"/>
        </w:rPr>
        <w:t>одного месяца со дня его официального опубликования в районной газете «Усть-Медведицкая Газета».</w:t>
      </w:r>
    </w:p>
    <w:p w:rsidR="00FD0695" w:rsidRDefault="00FD0695" w:rsidP="00FD0695">
      <w:pPr>
        <w:pStyle w:val="a3"/>
        <w:rPr>
          <w:rFonts w:eastAsia="Times New Roman"/>
        </w:rPr>
      </w:pPr>
      <w:r>
        <w:rPr>
          <w:rFonts w:eastAsia="Times New Roman"/>
        </w:rPr>
        <w:t>8.Решение Усть-Хоперского сельского Совета  от 25.08.2006 года № 34 «О  налоге на имущество физических лиц» ( в редакции  от 15.07.2010;27.09.2010:05.05.2014:20.10.2014)-отменить</w:t>
      </w:r>
    </w:p>
    <w:p w:rsidR="00FD0695" w:rsidRDefault="00FD0695" w:rsidP="00FD0695">
      <w:pPr>
        <w:pStyle w:val="a3"/>
        <w:rPr>
          <w:rFonts w:eastAsia="Times New Roman"/>
        </w:rPr>
      </w:pPr>
    </w:p>
    <w:p w:rsidR="00FD0695" w:rsidRDefault="00FD0695" w:rsidP="00FD0695">
      <w:pPr>
        <w:shd w:val="clear" w:color="auto" w:fill="FFFFFF"/>
        <w:tabs>
          <w:tab w:val="left" w:pos="6854"/>
        </w:tabs>
        <w:spacing w:before="14" w:line="240" w:lineRule="exact"/>
        <w:ind w:right="24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 Усть-Хоперского</w:t>
      </w:r>
    </w:p>
    <w:p w:rsidR="00FD0695" w:rsidRPr="005F66D4" w:rsidRDefault="00FD0695" w:rsidP="00FD0695">
      <w:pPr>
        <w:shd w:val="clear" w:color="auto" w:fill="FFFFFF"/>
        <w:tabs>
          <w:tab w:val="left" w:pos="6854"/>
        </w:tabs>
        <w:spacing w:before="14" w:line="240" w:lineRule="exact"/>
        <w:ind w:right="24"/>
        <w:rPr>
          <w:color w:val="000000"/>
          <w:spacing w:val="-18"/>
          <w:sz w:val="24"/>
          <w:szCs w:val="24"/>
        </w:rPr>
        <w:sectPr w:rsidR="00FD0695" w:rsidRPr="005F66D4">
          <w:pgSz w:w="11909" w:h="16834"/>
          <w:pgMar w:top="523" w:right="636" w:bottom="360" w:left="1289" w:header="720" w:footer="720" w:gutter="0"/>
          <w:cols w:space="720"/>
        </w:sect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сельского поселения:                                                С.М.Ананьев</w:t>
      </w:r>
    </w:p>
    <w:p w:rsidR="00F85162" w:rsidRDefault="00F85162"/>
    <w:sectPr w:rsidR="00F8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1C4"/>
    <w:multiLevelType w:val="singleLevel"/>
    <w:tmpl w:val="BD8E93FC"/>
    <w:lvl w:ilvl="0">
      <w:start w:val="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C8769B"/>
    <w:multiLevelType w:val="singleLevel"/>
    <w:tmpl w:val="1A5208D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0695"/>
    <w:rsid w:val="00F85162"/>
    <w:rsid w:val="00F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2015-02-11T11:14:00Z</dcterms:created>
  <dcterms:modified xsi:type="dcterms:W3CDTF">2015-02-11T11:14:00Z</dcterms:modified>
</cp:coreProperties>
</file>